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D5" w:rsidRDefault="00CD37D5" w:rsidP="00CD37D5">
      <w:pPr>
        <w:widowControl w:val="0"/>
        <w:rPr>
          <w:rFonts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CD37D5" w:rsidRPr="004153C6" w:rsidTr="009E3C2A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CD37D5" w:rsidRPr="004153C6" w:rsidRDefault="00CD37D5" w:rsidP="009E3C2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CD37D5" w:rsidRPr="004153C6" w:rsidRDefault="00CD37D5" w:rsidP="009E3C2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CD37D5" w:rsidRPr="004153C6" w:rsidRDefault="00CD37D5" w:rsidP="009E3C2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04195-18</w:t>
            </w:r>
          </w:p>
          <w:p w:rsidR="00CD37D5" w:rsidRPr="004153C6" w:rsidRDefault="00CD37D5" w:rsidP="009E3C2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Cs w:val="24"/>
              </w:rPr>
              <w:t>09.08.2018</w:t>
            </w:r>
          </w:p>
        </w:tc>
      </w:tr>
      <w:tr w:rsidR="00CD37D5" w:rsidRPr="004153C6" w:rsidTr="009E3C2A">
        <w:trPr>
          <w:trHeight w:val="946"/>
        </w:trPr>
        <w:tc>
          <w:tcPr>
            <w:tcW w:w="4612" w:type="dxa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Gröne Aufzucht KG</w:t>
            </w:r>
          </w:p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z. H. Thomas Gröne</w:t>
            </w:r>
          </w:p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Jagdstr</w:t>
            </w:r>
            <w:proofErr w:type="spellEnd"/>
            <w:r>
              <w:rPr>
                <w:rFonts w:cs="Arial"/>
                <w:szCs w:val="24"/>
              </w:rPr>
              <w:t>. 1a</w:t>
            </w:r>
          </w:p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49638 </w:t>
            </w:r>
            <w:proofErr w:type="spellStart"/>
            <w:r>
              <w:rPr>
                <w:rFonts w:cs="Arial"/>
                <w:szCs w:val="24"/>
              </w:rPr>
              <w:t>Nortrup</w:t>
            </w:r>
            <w:proofErr w:type="spellEnd"/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</w:tc>
      </w:tr>
      <w:tr w:rsidR="00CD37D5" w:rsidRPr="004153C6" w:rsidTr="009E3C2A">
        <w:trPr>
          <w:trHeight w:val="946"/>
        </w:trPr>
        <w:tc>
          <w:tcPr>
            <w:tcW w:w="4612" w:type="dxa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Nortrup</w:t>
            </w:r>
            <w:proofErr w:type="spellEnd"/>
            <w:r>
              <w:rPr>
                <w:rFonts w:cs="Arial"/>
                <w:szCs w:val="24"/>
              </w:rPr>
              <w:t xml:space="preserve">, </w:t>
            </w:r>
            <w:proofErr w:type="spellStart"/>
            <w:r>
              <w:rPr>
                <w:rFonts w:cs="Arial"/>
                <w:szCs w:val="24"/>
              </w:rPr>
              <w:t>Jagdstr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Suttrup</w:t>
            </w:r>
            <w:proofErr w:type="spellEnd"/>
            <w:r>
              <w:rPr>
                <w:rFonts w:cs="Arial"/>
                <w:szCs w:val="24"/>
              </w:rPr>
              <w:t xml:space="preserve"> Flur: 4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149; Gemarkung: Flur: Flurstück: </w:t>
            </w:r>
          </w:p>
        </w:tc>
      </w:tr>
      <w:tr w:rsidR="00CD37D5" w:rsidRPr="004153C6" w:rsidTr="009E3C2A">
        <w:trPr>
          <w:trHeight w:val="631"/>
        </w:trPr>
        <w:tc>
          <w:tcPr>
            <w:tcW w:w="4612" w:type="dxa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7.1.2.1</w:t>
            </w:r>
          </w:p>
        </w:tc>
      </w:tr>
      <w:tr w:rsidR="00CD37D5" w:rsidRPr="004153C6" w:rsidTr="009E3C2A">
        <w:trPr>
          <w:trHeight w:val="631"/>
        </w:trPr>
        <w:tc>
          <w:tcPr>
            <w:tcW w:w="4612" w:type="dxa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CD37D5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Anlage zum Halten oder zur Aufzucht von Geflügel mit 40.000 oder mehr 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Plätzen</w:t>
            </w:r>
          </w:p>
        </w:tc>
      </w:tr>
      <w:tr w:rsidR="00CD37D5" w:rsidRPr="004153C6" w:rsidTr="009E3C2A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CD37D5" w:rsidRPr="004153C6" w:rsidRDefault="00CD37D5" w:rsidP="009E3C2A">
            <w:pPr>
              <w:widowControl w:val="0"/>
              <w:rPr>
                <w:rFonts w:cs="Arial"/>
                <w:b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CD37D5" w:rsidRPr="004153C6" w:rsidTr="009E3C2A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CD37D5" w:rsidRPr="004153C6" w:rsidTr="009E3C2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D37D5" w:rsidRPr="004153C6" w:rsidTr="009E3C2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D37D5" w:rsidRPr="004153C6" w:rsidTr="009E3C2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CD37D5" w:rsidRPr="004153C6" w:rsidTr="009E3C2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CD37D5" w:rsidRPr="004153C6" w:rsidRDefault="00CD37D5" w:rsidP="009E3C2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CD37D5" w:rsidRPr="004153C6" w:rsidRDefault="00CD37D5" w:rsidP="009E3C2A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CD37D5" w:rsidRPr="004153C6" w:rsidRDefault="00CD37D5" w:rsidP="00CD37D5">
      <w:pPr>
        <w:widowControl w:val="0"/>
        <w:jc w:val="center"/>
        <w:rPr>
          <w:rFonts w:cs="Arial"/>
          <w:b/>
          <w:sz w:val="32"/>
          <w:szCs w:val="32"/>
        </w:rPr>
      </w:pPr>
    </w:p>
    <w:p w:rsidR="00CD37D5" w:rsidRPr="004153C6" w:rsidRDefault="00CD37D5" w:rsidP="00CD37D5"/>
    <w:p w:rsidR="00D4682D" w:rsidRDefault="00D4682D">
      <w:bookmarkStart w:id="0" w:name="_GoBack"/>
      <w:bookmarkEnd w:id="0"/>
    </w:p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D5"/>
    <w:rsid w:val="00CD37D5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37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37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2018-10-30T08:45:00Z</dcterms:created>
  <dcterms:modified xsi:type="dcterms:W3CDTF">2018-10-30T08:47:00Z</dcterms:modified>
</cp:coreProperties>
</file>